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60" w:rsidRDefault="00416B60"/>
    <w:p w:rsidR="00416B60" w:rsidRDefault="00416B60" w:rsidP="004032B7">
      <w:pPr>
        <w:pStyle w:val="Title"/>
      </w:pPr>
      <w:r>
        <w:t>2013 Service Learning Project</w:t>
      </w:r>
    </w:p>
    <w:p w:rsidR="00416B60" w:rsidRDefault="00416B60" w:rsidP="004032B7">
      <w:r>
        <w:t xml:space="preserve">Students in Oklahoma Flora, Biology 3213, completed a service learning project on the Northeastern State University Broken Arrow Campus (NSU-BA).  This project required the students to analyze campus tree census data collected in the fall of 2012. </w:t>
      </w:r>
      <w:r w:rsidR="00E43B70">
        <w:t>The 2012 census included only the portions of campus that are managed (the mowed portions of campus)</w:t>
      </w:r>
      <w:r>
        <w:t xml:space="preserve"> The students verified the previous collected data and calculated the following parameter:</w:t>
      </w:r>
    </w:p>
    <w:p w:rsidR="00416B60" w:rsidRDefault="00416B60" w:rsidP="00E43B70">
      <w:pPr>
        <w:ind w:left="720"/>
      </w:pPr>
      <w:r>
        <w:t>1.  Tree Characteristics including:</w:t>
      </w:r>
    </w:p>
    <w:p w:rsidR="0056529D" w:rsidRDefault="00416B60" w:rsidP="00E43B70">
      <w:pPr>
        <w:ind w:left="720"/>
      </w:pPr>
      <w:r>
        <w:tab/>
      </w:r>
      <w:r w:rsidR="0056529D">
        <w:t>a.  Number of trees on campus</w:t>
      </w:r>
    </w:p>
    <w:p w:rsidR="0056529D" w:rsidRDefault="0056529D" w:rsidP="00E43B70">
      <w:pPr>
        <w:ind w:left="720"/>
      </w:pPr>
      <w:r>
        <w:tab/>
        <w:t>b.  Number of species on campus</w:t>
      </w:r>
    </w:p>
    <w:p w:rsidR="0056529D" w:rsidRDefault="0056529D" w:rsidP="00E43B70">
      <w:pPr>
        <w:ind w:left="720"/>
      </w:pPr>
      <w:r>
        <w:tab/>
        <w:t xml:space="preserve">c.  Average </w:t>
      </w:r>
      <w:proofErr w:type="spellStart"/>
      <w:r>
        <w:t>dbh</w:t>
      </w:r>
      <w:proofErr w:type="spellEnd"/>
      <w:r>
        <w:t xml:space="preserve"> (cm)</w:t>
      </w:r>
    </w:p>
    <w:p w:rsidR="0056529D" w:rsidRDefault="0056529D" w:rsidP="00E43B70">
      <w:pPr>
        <w:ind w:left="720"/>
      </w:pPr>
      <w:r>
        <w:tab/>
        <w:t>d.  Average condition of each tree based on a 1-5 rating system</w:t>
      </w:r>
    </w:p>
    <w:p w:rsidR="0056529D" w:rsidRDefault="0056529D" w:rsidP="00E43B70">
      <w:pPr>
        <w:ind w:left="720"/>
      </w:pPr>
      <w:r>
        <w:t>2.  Most common family, genus and species of trees on campus.</w:t>
      </w:r>
    </w:p>
    <w:p w:rsidR="0056529D" w:rsidRDefault="0056529D" w:rsidP="00E43B70">
      <w:pPr>
        <w:ind w:left="720"/>
      </w:pPr>
      <w:r>
        <w:t>3.  Estimated Compensatory Value using I-Tree values.</w:t>
      </w:r>
    </w:p>
    <w:p w:rsidR="0056529D" w:rsidRDefault="0056529D">
      <w:r>
        <w:rPr>
          <w:noProof/>
        </w:rPr>
        <w:drawing>
          <wp:inline distT="0" distB="0" distL="0" distR="0">
            <wp:extent cx="4776885" cy="3582664"/>
            <wp:effectExtent l="19050" t="0" r="4665" b="0"/>
            <wp:docPr id="4" name="Picture 3" descr="Map of NSU Broken Arrow Campus showing buildings and par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386" cy="35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56529D" w:rsidRDefault="0056529D">
      <w:r>
        <w:rPr>
          <w:noProof/>
        </w:rPr>
        <w:lastRenderedPageBreak/>
        <w:drawing>
          <wp:inline distT="0" distB="0" distL="0" distR="0">
            <wp:extent cx="3010678" cy="2258008"/>
            <wp:effectExtent l="19050" t="0" r="0" b="0"/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018" cy="225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9D" w:rsidRDefault="0056529D"/>
    <w:p w:rsidR="0056529D" w:rsidRDefault="0056529D">
      <w:r>
        <w:rPr>
          <w:noProof/>
        </w:rPr>
        <w:drawing>
          <wp:inline distT="0" distB="0" distL="0" distR="0">
            <wp:extent cx="2960913" cy="2220685"/>
            <wp:effectExtent l="19050" t="0" r="0" b="0"/>
            <wp:docPr id="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48" cy="223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B201F2" w:rsidRDefault="0056529D">
      <w:r>
        <w:rPr>
          <w:noProof/>
        </w:rPr>
        <w:drawing>
          <wp:inline distT="0" distB="0" distL="0" distR="0">
            <wp:extent cx="2948085" cy="2211062"/>
            <wp:effectExtent l="19050" t="0" r="4665" b="0"/>
            <wp:docPr id="7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216" cy="22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F2" w:rsidRDefault="00B201F2" w:rsidP="00B201F2">
      <w:pPr>
        <w:pStyle w:val="Heading1"/>
        <w:rPr>
          <w:rStyle w:val="Heading1Char"/>
        </w:rPr>
      </w:pPr>
      <w:r w:rsidRPr="00B201F2">
        <w:rPr>
          <w:rStyle w:val="Heading1Char"/>
        </w:rPr>
        <w:lastRenderedPageBreak/>
        <w:t>Figure 1:  Size Distribution of Trees on NSU-BA Campus</w:t>
      </w:r>
    </w:p>
    <w:p w:rsidR="00B201F2" w:rsidRDefault="004E28D3">
      <w:pPr>
        <w:rPr>
          <w:rStyle w:val="Heading1Char"/>
        </w:rPr>
      </w:pPr>
      <w:r w:rsidRPr="004E28D3">
        <w:rPr>
          <w:noProof/>
        </w:rPr>
        <w:drawing>
          <wp:inline distT="0" distB="0" distL="0" distR="0">
            <wp:extent cx="5943600" cy="4143375"/>
            <wp:effectExtent l="38100" t="19050" r="38100" b="9525"/>
            <wp:docPr id="1" name="Chart 1" descr="Bar graph showing the size distribution of trees on NSU-BA campu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01F2" w:rsidRDefault="00B201F2" w:rsidP="00B201F2">
      <w:pPr>
        <w:pStyle w:val="Heading1"/>
        <w:rPr>
          <w:rStyle w:val="Heading1Char"/>
        </w:rPr>
      </w:pPr>
      <w:r w:rsidRPr="00B201F2">
        <w:rPr>
          <w:rStyle w:val="Heading1Char"/>
        </w:rPr>
        <w:lastRenderedPageBreak/>
        <w:t>Figure 2:  Condition Ratings of NSU-BA Campus Trees</w:t>
      </w:r>
    </w:p>
    <w:p w:rsidR="00B62603" w:rsidRPr="00A55270" w:rsidRDefault="004E28D3" w:rsidP="00A55270">
      <w:pPr>
        <w:pStyle w:val="NoSpacing"/>
        <w:rPr>
          <w:rFonts w:eastAsiaTheme="majorEastAsia"/>
        </w:rPr>
        <w:sectPr w:rsidR="00B62603" w:rsidRPr="00A55270" w:rsidSect="00416B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E28D3">
        <w:rPr>
          <w:noProof/>
          <w:sz w:val="32"/>
        </w:rPr>
        <w:drawing>
          <wp:inline distT="0" distB="0" distL="0" distR="0">
            <wp:extent cx="5943600" cy="3549015"/>
            <wp:effectExtent l="38100" t="19050" r="38100" b="13335"/>
            <wp:docPr id="2" name="Chart 2" descr="Bar graph showing the condition ratings of NSU-BA campus tree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4C72" w:rsidRDefault="00C34C72">
      <w:pPr>
        <w:rPr>
          <w:sz w:val="32"/>
        </w:rPr>
      </w:pPr>
    </w:p>
    <w:p w:rsidR="00C34C72" w:rsidRDefault="00C34C72" w:rsidP="00B201F2">
      <w:pPr>
        <w:pStyle w:val="Heading1"/>
      </w:pPr>
      <w:r>
        <w:t>Table 1:  Summary of Trees on the Managed Areas of NSU-BA Campus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1620"/>
      </w:tblGrid>
      <w:tr w:rsidR="00C34C72" w:rsidTr="00C34C72">
        <w:tc>
          <w:tcPr>
            <w:tcW w:w="6588" w:type="dxa"/>
          </w:tcPr>
          <w:p w:rsidR="00C34C72" w:rsidRDefault="00C34C72">
            <w:pPr>
              <w:rPr>
                <w:sz w:val="32"/>
              </w:rPr>
            </w:pPr>
            <w:r>
              <w:rPr>
                <w:sz w:val="32"/>
              </w:rPr>
              <w:t>Number of trees on campus</w:t>
            </w:r>
          </w:p>
        </w:tc>
        <w:tc>
          <w:tcPr>
            <w:tcW w:w="1620" w:type="dxa"/>
          </w:tcPr>
          <w:p w:rsidR="00C34C72" w:rsidRDefault="00C34C72">
            <w:pPr>
              <w:rPr>
                <w:sz w:val="32"/>
              </w:rPr>
            </w:pPr>
            <w:r>
              <w:rPr>
                <w:sz w:val="32"/>
              </w:rPr>
              <w:t>339</w:t>
            </w:r>
          </w:p>
        </w:tc>
      </w:tr>
      <w:tr w:rsidR="00C34C72" w:rsidTr="00C34C72">
        <w:tc>
          <w:tcPr>
            <w:tcW w:w="6588" w:type="dxa"/>
          </w:tcPr>
          <w:p w:rsidR="00C34C72" w:rsidRDefault="00C34C72">
            <w:pPr>
              <w:rPr>
                <w:sz w:val="32"/>
              </w:rPr>
            </w:pPr>
            <w:r>
              <w:rPr>
                <w:sz w:val="32"/>
              </w:rPr>
              <w:t>Number of Species on Campus</w:t>
            </w:r>
          </w:p>
        </w:tc>
        <w:tc>
          <w:tcPr>
            <w:tcW w:w="1620" w:type="dxa"/>
          </w:tcPr>
          <w:p w:rsidR="00C34C72" w:rsidRDefault="00C34C72">
            <w:pPr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C34C72" w:rsidTr="00C34C72">
        <w:tc>
          <w:tcPr>
            <w:tcW w:w="6588" w:type="dxa"/>
          </w:tcPr>
          <w:p w:rsidR="00C34C72" w:rsidRDefault="00C34C72">
            <w:pPr>
              <w:rPr>
                <w:sz w:val="32"/>
              </w:rPr>
            </w:pPr>
            <w:r>
              <w:rPr>
                <w:sz w:val="32"/>
              </w:rPr>
              <w:t xml:space="preserve">Average </w:t>
            </w:r>
            <w:proofErr w:type="spellStart"/>
            <w:r>
              <w:rPr>
                <w:sz w:val="32"/>
              </w:rPr>
              <w:t>dbh</w:t>
            </w:r>
            <w:proofErr w:type="spellEnd"/>
            <w:r>
              <w:rPr>
                <w:sz w:val="32"/>
              </w:rPr>
              <w:t xml:space="preserve"> (cm)</w:t>
            </w:r>
          </w:p>
        </w:tc>
        <w:tc>
          <w:tcPr>
            <w:tcW w:w="1620" w:type="dxa"/>
          </w:tcPr>
          <w:p w:rsidR="00C34C72" w:rsidRDefault="00C34C72">
            <w:pPr>
              <w:rPr>
                <w:sz w:val="32"/>
              </w:rPr>
            </w:pPr>
            <w:r>
              <w:rPr>
                <w:sz w:val="32"/>
              </w:rPr>
              <w:t>25.1</w:t>
            </w:r>
          </w:p>
        </w:tc>
      </w:tr>
    </w:tbl>
    <w:p w:rsidR="004032B7" w:rsidRDefault="004032B7" w:rsidP="00B201F2">
      <w:pPr>
        <w:pStyle w:val="Heading1"/>
      </w:pPr>
      <w:r w:rsidRPr="004032B7">
        <w:t>Table 2:  Family, Genus and Species Composition of NSU-BA Campus Trees</w:t>
      </w:r>
    </w:p>
    <w:tbl>
      <w:tblPr>
        <w:tblStyle w:val="GridTable4"/>
        <w:tblW w:w="13176" w:type="dxa"/>
        <w:tblLook w:val="04A0" w:firstRow="1" w:lastRow="0" w:firstColumn="1" w:lastColumn="0" w:noHBand="0" w:noVBand="1"/>
      </w:tblPr>
      <w:tblGrid>
        <w:gridCol w:w="2083"/>
        <w:gridCol w:w="1176"/>
        <w:gridCol w:w="1476"/>
        <w:gridCol w:w="1205"/>
        <w:gridCol w:w="1176"/>
        <w:gridCol w:w="1476"/>
        <w:gridCol w:w="2556"/>
        <w:gridCol w:w="1176"/>
        <w:gridCol w:w="1476"/>
      </w:tblGrid>
      <w:tr w:rsidR="004032B7" w:rsidRPr="004032B7" w:rsidTr="00403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32B7" w:rsidRPr="00E2428C" w:rsidRDefault="004032B7" w:rsidP="004032B7">
            <w:pPr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Family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Number of trees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Percent of Population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Genus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Number of Trees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Percent of Population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Species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Number of trees</w:t>
            </w:r>
          </w:p>
        </w:tc>
        <w:tc>
          <w:tcPr>
            <w:tcW w:w="0" w:type="auto"/>
            <w:hideMark/>
          </w:tcPr>
          <w:p w:rsidR="004032B7" w:rsidRPr="00E2428C" w:rsidRDefault="004032B7" w:rsidP="00403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E2428C">
              <w:rPr>
                <w:rFonts w:eastAsia="Times New Roman" w:cs="Arial"/>
                <w:b w:val="0"/>
                <w:szCs w:val="20"/>
              </w:rPr>
              <w:t>Percent of Population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E2428C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E2428C">
              <w:rPr>
                <w:rFonts w:eastAsia="Times New Roman" w:cs="Arial"/>
                <w:sz w:val="20"/>
                <w:szCs w:val="20"/>
              </w:rPr>
              <w:t>Ulmaceae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29.5%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Celtis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25.1%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Celtis</w:t>
            </w:r>
            <w:proofErr w:type="spellEnd"/>
            <w:r w:rsidRPr="004032B7">
              <w:rPr>
                <w:rFonts w:eastAsia="Times New Roman" w:cs="Arial"/>
                <w:sz w:val="20"/>
                <w:szCs w:val="20"/>
              </w:rPr>
              <w:t xml:space="preserve"> laevigata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20.4%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Fagaceae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22.1%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Quercus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22.1%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 xml:space="preserve">Pinus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taeda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13.0%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Oleaceae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17.1%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Fraxinus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17.1%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Acer rubrum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12.7%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Pinaceae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13.0%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Pinus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13.0%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Ulmus</w:t>
            </w:r>
            <w:proofErr w:type="spellEnd"/>
            <w:r w:rsidRPr="004032B7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americana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12.1%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Aceraceae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12.7%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Acer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12.7%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Quercus rubra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6.8%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Caesalapinaceae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2.7%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Ulmus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4.4%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Celtis</w:t>
            </w:r>
            <w:proofErr w:type="spellEnd"/>
            <w:r w:rsidRPr="004032B7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occidentalis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6.2%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Platanaceae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1.5%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Cercis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2.7%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 xml:space="preserve">Quercus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5.3%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Ebenaceae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0.9%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Platanus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1.5%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Cercis</w:t>
            </w:r>
            <w:proofErr w:type="spellEnd"/>
            <w:r w:rsidRPr="004032B7">
              <w:rPr>
                <w:rFonts w:eastAsia="Times New Roman" w:cs="Arial"/>
                <w:sz w:val="20"/>
                <w:szCs w:val="20"/>
              </w:rPr>
              <w:t xml:space="preserve"> canadensis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2.7%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Moraceae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0.6%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Diospryos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0.9%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 xml:space="preserve">Fraxinus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pennsylvanica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2.7%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Morus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0.6%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 xml:space="preserve">Quercus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1.2%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Diospryos</w:t>
            </w:r>
            <w:proofErr w:type="spellEnd"/>
            <w:r w:rsidRPr="004032B7">
              <w:rPr>
                <w:rFonts w:eastAsia="Times New Roman" w:cs="Arial"/>
                <w:sz w:val="20"/>
                <w:szCs w:val="20"/>
              </w:rPr>
              <w:t xml:space="preserve"> virginiana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0.9%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 xml:space="preserve">Quercus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shumardii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0.6%</w:t>
            </w:r>
          </w:p>
        </w:tc>
      </w:tr>
      <w:tr w:rsidR="004032B7" w:rsidRPr="004032B7" w:rsidTr="0040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 xml:space="preserve">Quercus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velutina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0.6%</w:t>
            </w:r>
          </w:p>
        </w:tc>
      </w:tr>
      <w:tr w:rsidR="004032B7" w:rsidRPr="004032B7" w:rsidTr="004032B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032B7" w:rsidRPr="004032B7" w:rsidRDefault="004032B7" w:rsidP="004032B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Quecus</w:t>
            </w:r>
            <w:proofErr w:type="spellEnd"/>
            <w:r w:rsidRPr="004032B7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4032B7">
              <w:rPr>
                <w:rFonts w:eastAsia="Times New Roman" w:cs="Arial"/>
                <w:sz w:val="20"/>
                <w:szCs w:val="20"/>
              </w:rPr>
              <w:t>stellata</w:t>
            </w:r>
            <w:proofErr w:type="spellEnd"/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4032B7" w:rsidRPr="004032B7" w:rsidRDefault="004032B7" w:rsidP="004032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4032B7">
              <w:rPr>
                <w:rFonts w:eastAsia="Times New Roman" w:cs="Arial"/>
                <w:sz w:val="20"/>
                <w:szCs w:val="20"/>
              </w:rPr>
              <w:t>0.3%</w:t>
            </w:r>
          </w:p>
        </w:tc>
      </w:tr>
    </w:tbl>
    <w:p w:rsidR="00A55270" w:rsidRDefault="00A55270" w:rsidP="00B201F2">
      <w:pPr>
        <w:pStyle w:val="Heading1"/>
        <w:rPr>
          <w:rFonts w:eastAsia="Times New Roman"/>
        </w:rPr>
        <w:sectPr w:rsidR="00A55270" w:rsidSect="00A5527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032B7" w:rsidRDefault="004032B7" w:rsidP="00B201F2">
      <w:pPr>
        <w:pStyle w:val="Heading1"/>
        <w:rPr>
          <w:sz w:val="32"/>
        </w:rPr>
      </w:pPr>
      <w:r w:rsidRPr="002504B7">
        <w:rPr>
          <w:rFonts w:eastAsia="Times New Roman"/>
        </w:rPr>
        <w:lastRenderedPageBreak/>
        <w:t>Figure 3:  Percent Species Composition for the Most Common Species on the NSU-BA Camp</w:t>
      </w:r>
      <w:r>
        <w:rPr>
          <w:rFonts w:eastAsia="Times New Roman"/>
        </w:rPr>
        <w:t>us</w:t>
      </w:r>
    </w:p>
    <w:p w:rsidR="004E28D3" w:rsidRPr="004E28D3" w:rsidRDefault="00B62603" w:rsidP="0056529D">
      <w:pPr>
        <w:rPr>
          <w:sz w:val="32"/>
        </w:rPr>
      </w:pPr>
      <w:bookmarkStart w:id="0" w:name="_GoBack"/>
      <w:r w:rsidRPr="00B62603">
        <w:rPr>
          <w:rFonts w:eastAsia="Times New Roman"/>
          <w:noProof/>
        </w:rPr>
        <w:drawing>
          <wp:inline distT="0" distB="0" distL="0" distR="0">
            <wp:extent cx="5943600" cy="3352800"/>
            <wp:effectExtent l="38100" t="19050" r="38100" b="19050"/>
            <wp:docPr id="3" name="Chart 3" descr="Bar graph showing the percent species composition for the most common species on the NSU-BA campu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4E28D3" w:rsidRPr="004E28D3" w:rsidSect="00A5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F6" w:rsidRDefault="002C20F6" w:rsidP="004032B7">
      <w:pPr>
        <w:spacing w:after="0" w:line="240" w:lineRule="auto"/>
      </w:pPr>
      <w:r>
        <w:separator/>
      </w:r>
    </w:p>
  </w:endnote>
  <w:endnote w:type="continuationSeparator" w:id="0">
    <w:p w:rsidR="002C20F6" w:rsidRDefault="002C20F6" w:rsidP="0040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F6" w:rsidRDefault="002C20F6" w:rsidP="004032B7">
      <w:pPr>
        <w:spacing w:after="0" w:line="240" w:lineRule="auto"/>
      </w:pPr>
      <w:r>
        <w:separator/>
      </w:r>
    </w:p>
  </w:footnote>
  <w:footnote w:type="continuationSeparator" w:id="0">
    <w:p w:rsidR="002C20F6" w:rsidRDefault="002C20F6" w:rsidP="00403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3"/>
    <w:rsid w:val="0017075B"/>
    <w:rsid w:val="001D1ABB"/>
    <w:rsid w:val="002504B7"/>
    <w:rsid w:val="002C20F6"/>
    <w:rsid w:val="003B15C7"/>
    <w:rsid w:val="004032B7"/>
    <w:rsid w:val="00416B60"/>
    <w:rsid w:val="004E28D3"/>
    <w:rsid w:val="0056529D"/>
    <w:rsid w:val="00A55270"/>
    <w:rsid w:val="00B201F2"/>
    <w:rsid w:val="00B42C6B"/>
    <w:rsid w:val="00B62603"/>
    <w:rsid w:val="00BC2A24"/>
    <w:rsid w:val="00C34C72"/>
    <w:rsid w:val="00DC76B4"/>
    <w:rsid w:val="00E12CE5"/>
    <w:rsid w:val="00E2428C"/>
    <w:rsid w:val="00E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ABF1"/>
  <w15:docId w15:val="{7A279749-24E9-41C4-8061-C48C2263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2B7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B7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B7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1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B60"/>
    <w:rPr>
      <w:rFonts w:ascii="Tahoma" w:hAnsi="Tahoma" w:cs="Tahoma"/>
      <w:sz w:val="16"/>
      <w:szCs w:val="16"/>
    </w:rPr>
  </w:style>
  <w:style w:type="table" w:styleId="GridTable4">
    <w:name w:val="Grid Table 4"/>
    <w:basedOn w:val="TableNormal"/>
    <w:uiPriority w:val="49"/>
    <w:rsid w:val="004032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032B7"/>
    <w:rPr>
      <w:rFonts w:ascii="Verdana" w:eastAsiaTheme="majorEastAsia" w:hAnsi="Verdana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B7"/>
    <w:rPr>
      <w:rFonts w:ascii="Verdana" w:eastAsiaTheme="majorEastAsia" w:hAnsi="Verdana" w:cstheme="majorBidi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B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B7"/>
    <w:rPr>
      <w:rFonts w:ascii="Verdana" w:eastAsiaTheme="majorEastAsia" w:hAnsi="Verdana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403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B7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403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B7"/>
    <w:rPr>
      <w:rFonts w:ascii="Verdana" w:hAnsi="Verdana"/>
      <w:sz w:val="24"/>
    </w:rPr>
  </w:style>
  <w:style w:type="paragraph" w:styleId="NoSpacing">
    <w:name w:val="No Spacing"/>
    <w:uiPriority w:val="1"/>
    <w:qFormat/>
    <w:rsid w:val="00B201F2"/>
    <w:pPr>
      <w:spacing w:after="0" w:line="240" w:lineRule="auto"/>
    </w:pPr>
    <w:rPr>
      <w:rFonts w:ascii="Verdana" w:hAnsi="Verdan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1F2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01F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OK%20Flora%202010\Fall%202012%20BA%20tree%20dat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OK%20Flora%202010\Fall%202012%20BA%20tree%20da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OK%20Flora%202010\Fall%202012%20BA%20tree%20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Sheet5!$D$1</c:f>
              <c:strCache>
                <c:ptCount val="1"/>
                <c:pt idx="0">
                  <c:v>Numbers of trees</c:v>
                </c:pt>
              </c:strCache>
            </c:strRef>
          </c:tx>
          <c:spPr>
            <a:solidFill>
              <a:srgbClr val="9BBB59">
                <a:lumMod val="50000"/>
              </a:srgbClr>
            </a:solidFill>
          </c:spPr>
          <c:invertIfNegative val="0"/>
          <c:cat>
            <c:strRef>
              <c:f>Sheet5!$C$2:$C$6</c:f>
              <c:strCache>
                <c:ptCount val="5"/>
                <c:pt idx="0">
                  <c:v>1-10</c:v>
                </c:pt>
                <c:pt idx="1">
                  <c:v>11-25</c:v>
                </c:pt>
                <c:pt idx="2">
                  <c:v>26-40</c:v>
                </c:pt>
                <c:pt idx="3">
                  <c:v>41-60</c:v>
                </c:pt>
                <c:pt idx="4">
                  <c:v>61-80</c:v>
                </c:pt>
              </c:strCache>
            </c:strRef>
          </c:cat>
          <c:val>
            <c:numRef>
              <c:f>Sheet5!$D$2:$D$6</c:f>
              <c:numCache>
                <c:formatCode>General</c:formatCode>
                <c:ptCount val="5"/>
                <c:pt idx="0">
                  <c:v>46</c:v>
                </c:pt>
                <c:pt idx="1">
                  <c:v>154</c:v>
                </c:pt>
                <c:pt idx="2">
                  <c:v>80</c:v>
                </c:pt>
                <c:pt idx="3">
                  <c:v>55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2-4563-BB00-64E552F66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238208"/>
        <c:axId val="70240512"/>
      </c:barChart>
      <c:catAx>
        <c:axId val="70238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/>
                </a:pPr>
                <a:r>
                  <a:rPr lang="en-US" sz="1600"/>
                  <a:t>dbh categories (cm)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70240512"/>
        <c:crosses val="autoZero"/>
        <c:auto val="1"/>
        <c:lblAlgn val="ctr"/>
        <c:lblOffset val="100"/>
        <c:noMultiLvlLbl val="0"/>
      </c:catAx>
      <c:valAx>
        <c:axId val="70240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/>
                  <a:t>Numbers of trees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70238208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50800" cap="flat" cmpd="sng" algn="ctr">
      <a:solidFill>
        <a:schemeClr val="accent3">
          <a:lumMod val="50000"/>
        </a:schemeClr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Sheet6!$B$1</c:f>
              <c:strCache>
                <c:ptCount val="1"/>
                <c:pt idx="0">
                  <c:v>Number of Trees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 w="50800">
              <a:solidFill>
                <a:schemeClr val="accent3">
                  <a:lumMod val="50000"/>
                </a:schemeClr>
              </a:solidFill>
            </a:ln>
          </c:spPr>
          <c:invertIfNegative val="0"/>
          <c:cat>
            <c:numRef>
              <c:f>Sheet6!$A$2:$A$7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Sheet6!$B$2:$B$7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10</c:v>
                </c:pt>
                <c:pt idx="3">
                  <c:v>46</c:v>
                </c:pt>
                <c:pt idx="4">
                  <c:v>132</c:v>
                </c:pt>
                <c:pt idx="5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7-4526-8B6B-2A4EF1443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745408"/>
        <c:axId val="70235648"/>
      </c:barChart>
      <c:catAx>
        <c:axId val="127745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/>
                </a:pPr>
                <a:r>
                  <a:rPr lang="en-US" sz="1600"/>
                  <a:t>Condition Category</a:t>
                </a:r>
                <a:r>
                  <a:rPr lang="en-US" sz="1600" baseline="0"/>
                  <a:t> Ratings</a:t>
                </a:r>
                <a:endParaRPr lang="en-US" sz="16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70235648"/>
        <c:crosses val="autoZero"/>
        <c:auto val="1"/>
        <c:lblAlgn val="ctr"/>
        <c:lblOffset val="100"/>
        <c:noMultiLvlLbl val="0"/>
      </c:catAx>
      <c:valAx>
        <c:axId val="7023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/>
                  <a:t>Number of Trees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127745408"/>
        <c:crosses val="autoZero"/>
        <c:crossBetween val="between"/>
      </c:valAx>
    </c:plotArea>
    <c:plotVisOnly val="1"/>
    <c:dispBlanksAs val="gap"/>
    <c:showDLblsOverMax val="0"/>
  </c:chart>
  <c:spPr>
    <a:ln w="50800">
      <a:solidFill>
        <a:schemeClr val="accent3">
          <a:lumMod val="50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'by family'!$I$348</c:f>
              <c:strCache>
                <c:ptCount val="1"/>
                <c:pt idx="0">
                  <c:v>Percent of Population</c:v>
                </c:pt>
              </c:strCache>
            </c:strRef>
          </c:tx>
          <c:spPr>
            <a:solidFill>
              <a:srgbClr val="9BBB59">
                <a:lumMod val="50000"/>
              </a:srgbClr>
            </a:solidFill>
          </c:spPr>
          <c:invertIfNegative val="0"/>
          <c:cat>
            <c:strRef>
              <c:f>'by family'!$G$349:$G$362</c:f>
              <c:strCache>
                <c:ptCount val="14"/>
                <c:pt idx="0">
                  <c:v>Celtis laevigata</c:v>
                </c:pt>
                <c:pt idx="1">
                  <c:v>Pinus taeda</c:v>
                </c:pt>
                <c:pt idx="2">
                  <c:v>Acer rubrum</c:v>
                </c:pt>
                <c:pt idx="3">
                  <c:v>Ulmus americana</c:v>
                </c:pt>
                <c:pt idx="4">
                  <c:v>Quercus rubra</c:v>
                </c:pt>
                <c:pt idx="5">
                  <c:v>Celtis occidentalis</c:v>
                </c:pt>
                <c:pt idx="6">
                  <c:v>Quercus nigra</c:v>
                </c:pt>
                <c:pt idx="7">
                  <c:v>Cercis canadensis</c:v>
                </c:pt>
                <c:pt idx="8">
                  <c:v>Fraxinus pennsylvanica</c:v>
                </c:pt>
                <c:pt idx="9">
                  <c:v>Quercus palustris</c:v>
                </c:pt>
                <c:pt idx="10">
                  <c:v>Diospryos virginiana</c:v>
                </c:pt>
                <c:pt idx="11">
                  <c:v>Quercus shumardii</c:v>
                </c:pt>
                <c:pt idx="12">
                  <c:v>Quercus velutina</c:v>
                </c:pt>
                <c:pt idx="13">
                  <c:v>Quecus stellata</c:v>
                </c:pt>
              </c:strCache>
            </c:strRef>
          </c:cat>
          <c:val>
            <c:numRef>
              <c:f>'by family'!$I$349:$I$362</c:f>
              <c:numCache>
                <c:formatCode>0.0%</c:formatCode>
                <c:ptCount val="14"/>
                <c:pt idx="0">
                  <c:v>0.20353982300884957</c:v>
                </c:pt>
                <c:pt idx="1">
                  <c:v>0.12979351032448377</c:v>
                </c:pt>
                <c:pt idx="2">
                  <c:v>0.12684365781710916</c:v>
                </c:pt>
                <c:pt idx="3">
                  <c:v>0.12094395280235988</c:v>
                </c:pt>
                <c:pt idx="4">
                  <c:v>6.7846607669616518E-2</c:v>
                </c:pt>
                <c:pt idx="5">
                  <c:v>6.1946902654867256E-2</c:v>
                </c:pt>
                <c:pt idx="6">
                  <c:v>5.3097345132743362E-2</c:v>
                </c:pt>
                <c:pt idx="7">
                  <c:v>2.6548672566371681E-2</c:v>
                </c:pt>
                <c:pt idx="8">
                  <c:v>2.6548672566371681E-2</c:v>
                </c:pt>
                <c:pt idx="9">
                  <c:v>1.1799410029498525E-2</c:v>
                </c:pt>
                <c:pt idx="10">
                  <c:v>8.8495575221238937E-3</c:v>
                </c:pt>
                <c:pt idx="11">
                  <c:v>5.8997050147492625E-3</c:v>
                </c:pt>
                <c:pt idx="12">
                  <c:v>5.8997050147492625E-3</c:v>
                </c:pt>
                <c:pt idx="13">
                  <c:v>2.9498525073746312E-3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9-4E4F-8E22-6901CA3F1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69824"/>
        <c:axId val="70671744"/>
      </c:barChart>
      <c:catAx>
        <c:axId val="70669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600"/>
                </a:pPr>
                <a:r>
                  <a:rPr lang="en-US" sz="1600"/>
                  <a:t>Tree Species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70671744"/>
        <c:crosses val="autoZero"/>
        <c:auto val="1"/>
        <c:lblAlgn val="ctr"/>
        <c:lblOffset val="100"/>
        <c:noMultiLvlLbl val="0"/>
      </c:catAx>
      <c:valAx>
        <c:axId val="70671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/>
                  <a:t>Percent</a:t>
                </a:r>
                <a:r>
                  <a:rPr lang="en-US" sz="1600" baseline="0"/>
                  <a:t> of Population</a:t>
                </a:r>
                <a:endParaRPr lang="en-US" sz="1600"/>
              </a:p>
            </c:rich>
          </c:tx>
          <c:overlay val="0"/>
        </c:title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70669824"/>
        <c:crosses val="autoZero"/>
        <c:crossBetween val="between"/>
      </c:valAx>
    </c:plotArea>
    <c:plotVisOnly val="1"/>
    <c:dispBlanksAs val="gap"/>
    <c:showDLblsOverMax val="0"/>
  </c:chart>
  <c:spPr>
    <a:ln w="50800">
      <a:solidFill>
        <a:schemeClr val="accent3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</dc:creator>
  <cp:lastModifiedBy>Braeden Smith</cp:lastModifiedBy>
  <cp:revision>23</cp:revision>
  <cp:lastPrinted>2013-11-05T02:29:00Z</cp:lastPrinted>
  <dcterms:created xsi:type="dcterms:W3CDTF">2021-07-28T16:40:00Z</dcterms:created>
  <dcterms:modified xsi:type="dcterms:W3CDTF">2021-08-02T15:15:00Z</dcterms:modified>
</cp:coreProperties>
</file>